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Holzschäden erkennen und bewerten: Schadensdiagnose, Feuchteursachen und next Steps</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Holzbau-Projekte in NRW: Wann lohnt sich die Holzkonstruktion und welche Entscheidungen sind früh zu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kompass-nrw.de/index.html" TargetMode="External"/><Relationship Id="rId10" Type="http://schemas.openxmlformats.org/officeDocument/2006/relationships/hyperlink" Target="https://oracle.holzkompass-nrw.de/hausbau-1/holzbau-projekte-in-nrw-wann-lohnt-sich-die-holzkonstruktion-und-welch-f9d16d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